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  <w:footerReference r:id="rId6" w:type="default"/>
    </w:sectPr>
    <w:p>
      <w:pPr>
        <w:spacing w:lineRule="auto"/>
      </w:pPr>
      <w:r>
        <w:rPr/>
        <w:t xml:space="preserve"/>
      </w:r>
    </w:p>
    <w:p>
      <w:pPr>
        <w:pStyle w:val="Heading1"/>
        <w:spacing w:lineRule="auto"/>
      </w:pPr>
      <w:r>
        <w:rPr/>
        <w:t xml:space="preserve">AI/ML Model Risk Management Policy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4320"/>
        <w:gridCol w:w="43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Field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Detail</w:t>
            </w:r>
          </w:p>
        </w:tc>
      </w:tr>
      <w:tblGrid>
        <w:gridCol w:w="4320"/>
        <w:gridCol w:w="43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Organisation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[Organisation Name]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Document type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Policy — approved, mandatory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Framework basis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SR 26-2 · OSFI E-23 · PRA SS1/23 · MAS · Treasury/CRI FS AI RMF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Owner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[Policy owner — e.g. AI Governance Lead]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Approved by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[Accountable executive / Board]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Version / status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v1.0 — DRAFT for adoption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Effective date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[Date]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Next review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[Date — at least annually]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Classification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Internal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Prepared with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autogovern.io — AI governance &amp; risk templates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1. Purpose</w:t>
      </w:r>
    </w:p>
    <w:p>
      <w:pPr>
        <w:spacing w:lineRule="auto"/>
      </w:pPr>
      <w:r>
        <w:rPr/>
        <w:t xml:space="preserve">This policy defines how </w:t>
      </w:r>
      <w:r>
        <w:rPr>
          <w:b/>
        </w:rPr>
        <w:t xml:space="preserve">[Organisation Name]</w:t>
      </w:r>
      <w:r>
        <w:rPr/>
        <w:t xml:space="preserve"> manages </w:t>
      </w:r>
      <w:r>
        <w:rPr>
          <w:b/>
        </w:rPr>
        <w:t xml:space="preserve">model risk</w:t>
      </w:r>
      <w:r>
        <w:rPr/>
        <w:t xml:space="preserve"> — the risk of adverse consequences from incorrect or misused model outputs — across all models, expressly including </w:t>
      </w:r>
      <w:r>
        <w:rPr>
          <w:b/>
        </w:rPr>
        <w:t xml:space="preserve">AI/ML models</w:t>
      </w:r>
      <w:r>
        <w:rPr/>
        <w:t xml:space="preserve">, over their full lifecycle. It aligns with SR 26-2 (US), OSFI E-23 (Canada), PRA SS1/23 (UK) and MAS expectations, and operationalises the Treasury/CRI FS AI RMF.</w:t>
      </w:r>
    </w:p>
    <w:p>
      <w:pPr>
        <w:pStyle w:val="Heading2"/>
        <w:spacing w:lineRule="auto"/>
      </w:pPr>
      <w:r>
        <w:rPr/>
        <w:t xml:space="preserve">2. Scope</w:t>
      </w:r>
    </w:p>
    <w:p>
      <w:pPr>
        <w:spacing w:lineRule="auto"/>
      </w:pPr>
      <w:r>
        <w:rPr/>
        <w:t xml:space="preserve">Applies to every </w:t>
      </w:r>
      <w:r>
        <w:rPr>
          <w:b/>
        </w:rPr>
        <w:t xml:space="preserve">model</w:t>
      </w:r>
      <w:r>
        <w:rPr/>
        <w:t xml:space="preserve"> used by [Organisation Name] — quantitative methods that turn inputs into estimates/decisions — used for credit, pricing, capital, AML/fraud, trading, or servicing, whether built in-house, vendor-supplied, or embedded. Supervised ML is in scope. </w:t>
      </w:r>
      <w:r>
        <w:rPr>
          <w:b/>
        </w:rPr>
        <w:t xml:space="preserve">Generative and agentic AI</w:t>
      </w:r>
      <w:r>
        <w:rPr/>
        <w:t xml:space="preserve"> are governed under the AI Governance &amp; AI Risk Management policies and this policy where they function as models; note SR 26-2 currently excludes GenAI/agentic from its formal scope pending an interagency RFI.</w:t>
      </w:r>
    </w:p>
    <w:p>
      <w:pPr>
        <w:pStyle w:val="Heading2"/>
        <w:spacing w:lineRule="auto"/>
      </w:pPr>
      <w:r>
        <w:rPr/>
        <w:t xml:space="preserve">3. Definitions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4320"/>
        <w:gridCol w:w="43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Term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Meaning</w:t>
            </w:r>
          </w:p>
        </w:tc>
      </w:tr>
      <w:tblGrid>
        <w:gridCol w:w="4320"/>
        <w:gridCol w:w="43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Model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 quantitative/algorithmic method that processes inputs into estimates, scores or decisions.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Model risk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Risk of adverse consequences from incorrect or misused model output.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Materiality / tier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model’s risk rating driving validation intensity and oversight.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Validation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Independent assessment of whether a model is sound and fit for purpose.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Effective challenge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Critical, independent review with the competence, incentive and authority to change a model.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Ongoing monitoring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Continuous performance, stability and drift tracking after deployment.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4. Governance — three lines of defence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880"/>
        <w:gridCol w:w="2880"/>
        <w:gridCol w:w="288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Line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Owner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Model-risk role</w:t>
            </w:r>
          </w:p>
        </w:tc>
      </w:tr>
      <w:tblGrid>
        <w:gridCol w:w="2880"/>
        <w:gridCol w:w="2880"/>
        <w:gridCol w:w="288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1st line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Model owners / developers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Develop, document, use and monitor models; own the risk.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2nd line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Model Risk Management / independent validation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Set standards, validate, effectively challenge, maintain the inventory.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3rd line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Internal Audit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Assure the overall MRM framework.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  <w:t xml:space="preserve">The board / risk committee owns model-risk appetite and receives regular reporting on material models and validation findings.</w:t>
      </w:r>
    </w:p>
    <w:p>
      <w:pPr>
        <w:pStyle w:val="Heading2"/>
        <w:spacing w:lineRule="auto"/>
      </w:pPr>
      <w:r>
        <w:rPr/>
        <w:t xml:space="preserve">5. Model inventory &amp; tiering</w:t>
      </w:r>
    </w:p>
    <w:p>
      <w:pPr>
        <w:spacing w:lineRule="auto"/>
      </w:pPr>
      <w:r>
        <w:rPr/>
        <w:t xml:space="preserve">Maintain a complete </w:t>
      </w:r>
      <w:r>
        <w:rPr>
          <w:b/>
        </w:rPr>
        <w:t xml:space="preserve">model inventory</w:t>
      </w:r>
      <w:r>
        <w:rPr/>
        <w:t xml:space="preserve">; assign each model a </w:t>
      </w:r>
      <w:r>
        <w:rPr>
          <w:b/>
        </w:rPr>
        <w:t xml:space="preserve">materiality tier</w:t>
      </w:r>
      <w:r>
        <w:rPr/>
        <w:t xml:space="preserve"> (e.g. High/Medium/Low) from its financial, regulatory and reputational impact. Validation frequency, documentation depth and oversight scale with the tier.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1234.2857142857142"/>
        <w:gridCol w:w="1234.2857142857142"/>
        <w:gridCol w:w="1234.2857142857142"/>
        <w:gridCol w:w="1234.2857142857142"/>
        <w:gridCol w:w="1234.2857142857142"/>
        <w:gridCol w:w="1234.2857142857142"/>
        <w:gridCol w:w="1234.2857142857142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Model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Purpose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Owner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AI/ML?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Tier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Last validation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Status</w:t>
            </w:r>
          </w:p>
        </w:tc>
      </w:tr>
      <w:tblGrid>
        <w:gridCol w:w="1234.2857142857142"/>
        <w:gridCol w:w="1234.2857142857142"/>
        <w:gridCol w:w="1234.2857142857142"/>
        <w:gridCol w:w="1234.2857142857142"/>
        <w:gridCol w:w="1234.2857142857142"/>
        <w:gridCol w:w="1234.2857142857142"/>
        <w:gridCol w:w="1234.2857142857142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[model]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[credit/pricing/AML/…]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[owner]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[yes/no]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[H/M/L]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[date]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[dev/live/retired]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6. Model lifecycle &amp; stage gates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880"/>
        <w:gridCol w:w="2880"/>
        <w:gridCol w:w="288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Stage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Key activity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Gate</w:t>
            </w:r>
          </w:p>
        </w:tc>
      </w:tr>
      <w:tblGrid>
        <w:gridCol w:w="2880"/>
        <w:gridCol w:w="2880"/>
        <w:gridCol w:w="288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Development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Sound design, data quality/lineage, documentation an independent party can reconstruct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Development evidence complete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Validation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Independent validation proportionate to tier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Validation passed / conditions logged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Approval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Effective challenge; owner + MRM sign-off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Approved for use (tiered authority)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Monitoring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Ongoing performance, drift &amp; override tracking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Monitoring live; thresholds set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Revalidation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On material change, breach, or schedule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Revalidation completed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Retirement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Decommission safely; retain records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Retirement approved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7. Independent validation</w:t>
      </w:r>
    </w:p>
    <w:p>
      <w:pPr>
        <w:spacing w:lineRule="auto"/>
      </w:pPr>
      <w:r>
        <w:rPr/>
        <w:t xml:space="preserve">Validation, independent of development, covers: </w:t>
      </w:r>
      <w:r>
        <w:rPr>
          <w:b/>
        </w:rPr>
        <w:t xml:space="preserve">(a) conceptual soundness</w:t>
      </w:r>
      <w:r>
        <w:rPr/>
        <w:t xml:space="preserve"> (design, assumptions, methodology); </w:t>
      </w:r>
      <w:r>
        <w:rPr>
          <w:b/>
        </w:rPr>
        <w:t xml:space="preserve">(b) ongoing monitoring &amp; process verification</w:t>
      </w:r>
      <w:r>
        <w:rPr/>
        <w:t xml:space="preserve"> (incl. benchmarking); and </w:t>
      </w:r>
      <w:r>
        <w:rPr>
          <w:b/>
        </w:rPr>
        <w:t xml:space="preserve">(c) outcomes analysis / back-testing</w:t>
      </w:r>
      <w:r>
        <w:rPr/>
        <w:t xml:space="preserve">. For AI/ML models, additionally assess </w:t>
      </w:r>
      <w:r>
        <w:rPr>
          <w:b/>
        </w:rPr>
        <w:t xml:space="preserve">data lineage, feature stability, overfitting, explainability/interpretability, and drift</w:t>
      </w:r>
      <w:r>
        <w:rPr/>
        <w:t xml:space="preserve">. Vendor and third-party models are validated too — outsourcing the model does not outsource the model risk.</w:t>
      </w:r>
    </w:p>
    <w:p>
      <w:pPr>
        <w:pStyle w:val="Heading2"/>
        <w:spacing w:lineRule="auto"/>
      </w:pPr>
      <w:r>
        <w:rPr/>
        <w:t xml:space="preserve">8. AI/ML-specific controls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Explainability</w:t>
      </w:r>
      <w:r>
        <w:rPr/>
        <w:t xml:space="preserve"> sufficient for the use case (reason codes for credit; documented interpretability for others).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Drift &amp; performance monitoring</w:t>
      </w:r>
      <w:r>
        <w:rPr/>
        <w:t xml:space="preserve"> with thresholds and a retraining/circuit-breaker playbook.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Bias/fairness testing</w:t>
      </w:r>
      <w:r>
        <w:rPr/>
        <w:t xml:space="preserve"> where the model affects people (see the Fair Lending procedure).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Data governance</w:t>
      </w:r>
      <w:r>
        <w:rPr/>
        <w:t xml:space="preserve"> — provenance, quality, representativeness.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Security</w:t>
      </w:r>
      <w:r>
        <w:rPr/>
        <w:t xml:space="preserve"> — protection against data poisoning and model theft.</w:t>
      </w:r>
    </w:p>
    <w:p>
      <w:pPr>
        <w:pStyle w:val="Heading2"/>
        <w:spacing w:lineRule="auto"/>
      </w:pPr>
      <w:r>
        <w:rPr/>
        <w:t xml:space="preserve">Regulatory &amp; framework mapping (financial services)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880"/>
        <w:gridCol w:w="2880"/>
        <w:gridCol w:w="288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Instrument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Jurisdiction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What this policy supports</w:t>
            </w:r>
          </w:p>
        </w:tc>
      </w:tr>
      <w:tblGrid>
        <w:gridCol w:w="2880"/>
        <w:gridCol w:w="2880"/>
        <w:gridCol w:w="288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SR 26-2 / OCC 2026-13 / FDIC (Apr 2026)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US banks (&gt;$30B)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Model inventory, tiering, independent validation, governance (supervised ML in scope; GenAI/agentic out of scope)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Treasury / CRI FS AI RMF (Feb 2026)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US financial services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~230 control objectives crosswalked to NIST AI RMF &amp; SR 26-2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OSFI Guideline E-23 (eff. 2027)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Canada FRFIs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Lifecycle model risk incl. AI/ML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PRA SS1/23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UK banks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Five model-risk principles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MAS FEAT + AI MRM paper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Singapore FIs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AI inventory, materiality, validation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ECOA/Reg B §1002.9, FCRA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US consumer credit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Adverse-action reason codes; fair lending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NAIC Model Bulletin, NY DFS CL7, CO SB 21-169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US insurance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AIS Program; proxy/bias testing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EU AI Act Annex III 5(b)/5(c) + DORA; GDPR Art. 22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EU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High-risk credit/insurance AI; ICT resilience; automated decisions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ISO/IEC 42001 &amp; 23894; COSO ERM + Three Lines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Global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Management system, AI risk, governance backbone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10. Review</w:t>
      </w:r>
    </w:p>
    <w:p>
      <w:pPr>
        <w:spacing w:lineRule="auto"/>
      </w:pPr>
      <w:r>
        <w:rPr/>
        <w:t xml:space="preserve">MRM standards and the inventory are reviewed at least annually and after any material regulatory change or model incident.</w:t>
      </w:r>
    </w:p>
    <w:p>
      <w:pPr>
        <w:pStyle w:val="Heading2"/>
        <w:spacing w:lineRule="auto"/>
      </w:pPr>
      <w:r>
        <w:rPr/>
        <w:t xml:space="preserve">Appendix A — Validation report template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4320"/>
        <w:gridCol w:w="43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Section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Content</w:t>
            </w:r>
          </w:p>
        </w:tc>
      </w:tr>
      <w:tblGrid>
        <w:gridCol w:w="4320"/>
        <w:gridCol w:w="43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Model &amp; tier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[name / H/M/L]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Conceptual soundness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[findings]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Data quality &amp; lineage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[findings]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Outcomes analysis / back-testing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[results]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Ongoing monitoring plan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[metrics &amp; thresholds]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Bias / explainability (AI/ML)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[findings]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Limitations &amp; conditions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[list]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Validator (independent) &amp; date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[name / date]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Effective-challenge sign-off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[name / date]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Document control &amp; approval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1728"/>
        <w:gridCol w:w="1728"/>
        <w:gridCol w:w="1728"/>
        <w:gridCol w:w="1728"/>
        <w:gridCol w:w="1728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Version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Date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Author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Approved by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Summary of change</w:t>
            </w:r>
          </w:p>
        </w:tc>
      </w:tr>
      <w:tblGrid>
        <w:gridCol w:w="1728"/>
        <w:gridCol w:w="1728"/>
        <w:gridCol w:w="1728"/>
        <w:gridCol w:w="1728"/>
        <w:gridCol w:w="1728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1.0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[Date]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[Author]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[Approver]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Initial adoption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Sign-off</w:t>
      </w:r>
    </w:p>
    <w:p>
      <w:pPr>
        <w:numPr>
          <w:ilvl w:val="0"/>
          <w:numId w:val="2"/>
        </w:numPr>
        <w:spacing w:lineRule="auto"/>
      </w:pPr>
      <w:r>
        <w:rPr/>
        <w:t xml:space="preserve">Policy owner: __________________________  Signature: ______________  Date: __________</w:t>
      </w:r>
    </w:p>
    <w:p>
      <w:pPr>
        <w:numPr>
          <w:ilvl w:val="0"/>
          <w:numId w:val="2"/>
        </w:numPr>
        <w:spacing w:lineRule="auto"/>
      </w:pPr>
      <w:r>
        <w:rPr/>
        <w:t xml:space="preserve">Accountable executive: __________________________  Signature: ______________  Date: __________</w:t>
      </w:r>
    </w:p>
    <w:p>
      <w:pPr>
        <w:numPr>
          <w:ilvl w:val="0"/>
          <w:numId w:val="2"/>
        </w:numPr>
        <w:spacing w:lineRule="auto"/>
      </w:pPr>
      <w:r>
        <w:rPr/>
        <w:t xml:space="preserve">Next review due: __________</w:t>
      </w:r>
    </w:p>
    <w:p>
      <w:pPr>
        <w:ind w:left="284"/>
        <w:jc w:val="both"/>
        <w:spacing w:lineRule="auto"/>
      </w:pPr>
      <w:r>
        <w:rPr/>
        <w:t xml:space="preserve">This template was generated by </w:t>
      </w:r>
      <w:r>
        <w:rPr>
          <w:b/>
        </w:rPr>
        <w:t xml:space="preserve">autogovern.io</w:t>
      </w:r>
      <w:r>
        <w:rPr/>
        <w:t xml:space="preserve"> as a professional starting point. Review and adapt it to your organisation, systems, sector and legal advice before adoption. It is an educational aid, not legal advice.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r>
      <rPr/>
    </r>
    <fldSimple xmlns:ns2="http://schemas.openxmlformats.org/wordprocessingml/2006/main" ns2:instr="PAGE">
      <r/>
    </fldSimple>
  </p>
</ft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footer" Target="footer1.xml" TargetMode="In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2026-07-10T21:38:36.756Z</dcterms:created>
  <dcterms:modified xsi:type="dcterms:W3CDTF">2026-07-10T21:38:36.756Z</dcterms:modified>
</cp:coreProperties>
</file>