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  <w:footerReference r:id="rId6" w:type="default"/>
    </w:sectPr>
    <w:p>
      <w:pPr>
        <w:spacing w:lineRule="auto"/>
      </w:pPr>
      <w:r>
        <w:rPr/>
        <w:t xml:space="preserve"/>
      </w:r>
    </w:p>
    <w:p>
      <w:pPr>
        <w:pStyle w:val="Heading1"/>
        <w:spacing w:lineRule="auto"/>
      </w:pPr>
      <w:r>
        <w:rPr/>
        <w:t xml:space="preserve">Fair Lending &amp; Adverse-Action Procedure (AI credit decisions)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4320"/>
        <w:gridCol w:w="43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Field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Detail</w:t>
            </w:r>
          </w:p>
        </w:tc>
      </w:tr>
      <w:tblGrid>
        <w:gridCol w:w="4320"/>
        <w:gridCol w:w="43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Organisation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[Organisation Name]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Document type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Policy — approved, mandatory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Framework basis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ECOA/Reg B §1002.9 · FCRA · Fair Housing Act · EU AI Act Annex III 5(b)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Owner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[Policy owner — e.g. AI Governance Lead]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Approved by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[Accountable executive / Board]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Version / status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v1.0 — DRAFT for adoption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Effective date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[Date]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Next review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[Date — at least annually]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Classification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Internal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Prepared with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autogovern.io — AI governance &amp; risk templates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1. Purpose</w:t>
      </w:r>
    </w:p>
    <w:p>
      <w:pPr>
        <w:spacing w:lineRule="auto"/>
      </w:pPr>
      <w:r>
        <w:rPr/>
        <w:t xml:space="preserve">Ensure that AI/ML used by </w:t>
      </w:r>
      <w:r>
        <w:rPr>
          <w:b/>
        </w:rPr>
        <w:t xml:space="preserve">[Organisation Name]</w:t>
      </w:r>
      <w:r>
        <w:rPr/>
        <w:t xml:space="preserve"> in credit decisions is </w:t>
      </w:r>
      <w:r>
        <w:rPr>
          <w:b/>
        </w:rPr>
        <w:t xml:space="preserve">fair, explainable and compliant</w:t>
      </w:r>
      <w:r>
        <w:rPr/>
        <w:t xml:space="preserve"> — with accurate adverse-action reason codes and ongoing fair-lending testing.</w:t>
      </w:r>
    </w:p>
    <w:p>
      <w:pPr>
        <w:pStyle w:val="Heading2"/>
        <w:spacing w:lineRule="auto"/>
      </w:pPr>
      <w:r>
        <w:rPr/>
        <w:t xml:space="preserve">2. Scope</w:t>
      </w:r>
    </w:p>
    <w:p>
      <w:pPr>
        <w:spacing w:lineRule="auto"/>
      </w:pPr>
      <w:r>
        <w:rPr/>
        <w:t xml:space="preserve">Applies to any AI/ML system used to evaluate creditworthiness, price credit, or make/materially influence a consequential credit decision, including third-party scores.</w:t>
      </w:r>
    </w:p>
    <w:p>
      <w:pPr>
        <w:pStyle w:val="Heading2"/>
        <w:spacing w:lineRule="auto"/>
      </w:pPr>
      <w:r>
        <w:rPr/>
        <w:t xml:space="preserve">3. Adverse-action requirements (binding)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Specific principal reasons (ECOA/Reg B §1002.9):</w:t>
      </w:r>
      <w:r>
        <w:rPr/>
        <w:t xml:space="preserve"> every adverse credit decision must state the </w:t>
      </w:r>
      <w:r>
        <w:rPr>
          <w:b/>
        </w:rPr>
        <w:t xml:space="preserve">specific principal reasons</w:t>
      </w:r>
      <w:r>
        <w:rPr/>
        <w:t xml:space="preserve"> — accurate and specific — regardless of model complexity. "The model is too complex to explain" is </w:t>
      </w:r>
      <w:r>
        <w:rPr>
          <w:b/>
        </w:rPr>
        <w:t xml:space="preserve">not</w:t>
      </w:r>
      <w:r>
        <w:rPr/>
        <w:t xml:space="preserve"> a defense.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FCRA §1681m:</w:t>
      </w:r>
      <w:r>
        <w:rPr/>
        <w:t xml:space="preserve"> where a third-party consumer report or score is used, provide an adverse-action notice identifying the source and the consumer’s rights.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Timing &amp; delivery</w:t>
      </w:r>
      <w:r>
        <w:rPr/>
        <w:t xml:space="preserve"> per Reg B/FCRA.</w:t>
      </w:r>
    </w:p>
    <w:p>
      <w:pPr>
        <w:pStyle w:val="Heading2"/>
        <w:spacing w:lineRule="auto"/>
      </w:pPr>
      <w:r>
        <w:rPr/>
        <w:t xml:space="preserve">4. Reason codes &amp; explanations</w:t>
      </w:r>
    </w:p>
    <w:p>
      <w:pPr>
        <w:spacing w:lineRule="auto"/>
      </w:pPr>
      <w:r>
        <w:rPr/>
        <w:t xml:space="preserve">For each model, maintain a mapping from model drivers to </w:t>
      </w:r>
      <w:r>
        <w:rPr>
          <w:b/>
        </w:rPr>
        <w:t xml:space="preserve">plain-language reason codes</w:t>
      </w:r>
      <w:r>
        <w:rPr/>
        <w:t xml:space="preserve">. Prefer methods that yield accurate, applicant-specific reasons (e.g. reason-code ranking or counterfactual explanations). Validate that delivered reasons genuinely reflect the decision.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880"/>
        <w:gridCol w:w="2880"/>
        <w:gridCol w:w="288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Reason code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Plain-language reason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Model driver</w:t>
            </w:r>
          </w:p>
        </w:tc>
      </w:tr>
      <w:tblGrid>
        <w:gridCol w:w="2880"/>
        <w:gridCol w:w="2880"/>
        <w:gridCol w:w="288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[R01]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[e.g. limited credit history]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[feature]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5. Fair-lending / disparate-impact testing</w:t>
      </w:r>
    </w:p>
    <w:p>
      <w:pPr>
        <w:spacing w:lineRule="auto"/>
      </w:pPr>
      <w:r>
        <w:rPr/>
        <w:t xml:space="preserve">Test outcomes across protected groups on representative data: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Disparate impact (four-fifths rule):</w:t>
      </w:r>
      <w:r>
        <w:rPr/>
        <w:t xml:space="preserve"> flag any group with selection rate &lt; 80% of the top group.</w:t>
      </w:r>
    </w:p>
    <w:p>
      <w:pPr>
        <w:numPr>
          <w:ilvl w:val="0"/>
          <w:numId w:val="2"/>
        </w:numPr>
        <w:spacing w:lineRule="auto"/>
      </w:pPr>
      <w:r>
        <w:rPr/>
        <w:t xml:space="preserve">Investigate flagged disparities; pursue less-discriminatory alternatives; document.</w:t>
      </w:r>
    </w:p>
    <w:p>
      <w:pPr>
        <w:ind w:left="284"/>
        <w:jc w:val="both"/>
        <w:spacing w:lineRule="auto"/>
      </w:pPr>
      <w:r>
        <w:rPr>
          <w:b/>
        </w:rPr>
        <w:t xml:space="preserve">Jurisdiction note:</w:t>
      </w:r>
      <w:r>
        <w:rPr/>
        <w:t xml:space="preserve"> the CFPB removed the ECOA disparate-impact "effects test" (Reg B rule eff. 21 Jul 2026), but disparate impact </w:t>
      </w:r>
      <w:r>
        <w:rPr>
          <w:b/>
        </w:rPr>
        <w:t xml:space="preserve">remains actionable</w:t>
      </w:r>
      <w:r>
        <w:rPr/>
        <w:t xml:space="preserve"> under the </w:t>
      </w:r>
      <w:r>
        <w:rPr>
          <w:b/>
        </w:rPr>
        <w:t xml:space="preserve">Fair Housing Act</w:t>
      </w:r>
      <w:r>
        <w:rPr/>
        <w:t xml:space="preserve">, DOJ enforcement, and state law, and the rule is contested. </w:t>
      </w:r>
      <w:r>
        <w:rPr>
          <w:b/>
        </w:rPr>
        <w:t xml:space="preserve">Retain disparate-impact testing</w:t>
      </w:r>
      <w:r>
        <w:rPr/>
        <w:t xml:space="preserve"> and treat ECOA DI as jurisdiction-dependent, not eliminated.</w:t>
      </w:r>
    </w:p>
    <w:p>
      <w:pPr>
        <w:pStyle w:val="Heading2"/>
        <w:spacing w:lineRule="auto"/>
      </w:pPr>
      <w:r>
        <w:rPr/>
        <w:t xml:space="preserve">6. Governance &amp; monitoring</w:t>
      </w:r>
    </w:p>
    <w:p>
      <w:pPr>
        <w:spacing w:lineRule="auto"/>
      </w:pPr>
      <w:r>
        <w:rPr/>
        <w:t xml:space="preserve">Name an accountable owner; add a </w:t>
      </w:r>
      <w:r>
        <w:rPr>
          <w:b/>
        </w:rPr>
        <w:t xml:space="preserve">fairness gate</w:t>
      </w:r>
      <w:r>
        <w:rPr/>
        <w:t xml:space="preserve"> to the model release pipeline; monitor reason-code accuracy, override rates and group outcomes on a schedule; escalate material fair-lending findings.</w:t>
      </w:r>
    </w:p>
    <w:p>
      <w:pPr>
        <w:pStyle w:val="Heading2"/>
        <w:spacing w:lineRule="auto"/>
      </w:pPr>
      <w:r>
        <w:rPr/>
        <w:t xml:space="preserve">Regulatory mapping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4320"/>
        <w:gridCol w:w="43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Instrument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Requirement supported</w:t>
            </w:r>
          </w:p>
        </w:tc>
      </w:tr>
      <w:tblGrid>
        <w:gridCol w:w="4320"/>
        <w:gridCol w:w="43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ECOA / Reg B §1002.9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Specific-reason adverse-action notices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FCRA §1681m / §1681e(b)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Adverse-action with source; accuracy of consumer-report scores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Fair Housing Act / DOJ / state law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Disparate-impact exposure (retain testing)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EU AI Act Annex III 5(b) + GDPR Art. 22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High-risk credit AI; solely-automated decisions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FCA Consumer Duty (UK)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Avoid foreseeable harm from credit AI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Appendix — Adverse-action notice (template)</w:t>
      </w:r>
    </w:p>
    <w:p>
      <w:pPr>
        <w:ind w:left="284"/>
        <w:jc w:val="both"/>
        <w:spacing w:lineRule="auto"/>
      </w:pPr>
      <w:r>
        <w:rPr/>
        <w:t xml:space="preserve">We are unable to approve your application. The specific principal reason(s) were: </w:t>
      </w:r>
      <w:r>
        <w:rPr>
          <w:b/>
        </w:rPr>
        <w:t xml:space="preserve">[reason 1]; [reason 2]; …</w:t>
      </w:r>
      <w:r>
        <w:rPr/>
        <w:t xml:space="preserve">. This decision was based in part on information from </w:t>
      </w:r>
      <w:r>
        <w:rPr>
          <w:b/>
        </w:rPr>
        <w:t xml:space="preserve">[consumer-reporting agency, if any]</w:t>
      </w:r>
      <w:r>
        <w:rPr/>
        <w:t xml:space="preserve">, who did not make the decision and cannot explain it; you have the right to a free copy of your report and to dispute its accuracy. You may also request a review of this decision. Contact: </w:t>
      </w:r>
      <w:r>
        <w:rPr>
          <w:b/>
        </w:rPr>
        <w:t xml:space="preserve">[route]</w:t>
      </w:r>
      <w:r>
        <w:rPr/>
        <w:t xml:space="preserve">.</w:t>
      </w:r>
    </w:p>
    <w:p>
      <w:pPr>
        <w:pStyle w:val="Heading2"/>
        <w:spacing w:lineRule="auto"/>
      </w:pPr>
      <w:r>
        <w:rPr/>
        <w:t xml:space="preserve">Document control &amp; approval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1728"/>
        <w:gridCol w:w="1728"/>
        <w:gridCol w:w="1728"/>
        <w:gridCol w:w="1728"/>
        <w:gridCol w:w="1728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Version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Date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Author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Approved by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Summary of change</w:t>
            </w:r>
          </w:p>
        </w:tc>
      </w:tr>
      <w:tblGrid>
        <w:gridCol w:w="1728"/>
        <w:gridCol w:w="1728"/>
        <w:gridCol w:w="1728"/>
        <w:gridCol w:w="1728"/>
        <w:gridCol w:w="1728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1.0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[Date]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[Author]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[Approver]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Initial adoption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Sign-off</w:t>
      </w:r>
    </w:p>
    <w:p>
      <w:pPr>
        <w:numPr>
          <w:ilvl w:val="0"/>
          <w:numId w:val="3"/>
        </w:numPr>
        <w:spacing w:lineRule="auto"/>
      </w:pPr>
      <w:r>
        <w:rPr/>
        <w:t xml:space="preserve">Policy owner: __________________________  Signature: ______________  Date: __________</w:t>
      </w:r>
    </w:p>
    <w:p>
      <w:pPr>
        <w:numPr>
          <w:ilvl w:val="0"/>
          <w:numId w:val="3"/>
        </w:numPr>
        <w:spacing w:lineRule="auto"/>
      </w:pPr>
      <w:r>
        <w:rPr/>
        <w:t xml:space="preserve">Accountable executive: __________________________  Signature: ______________  Date: __________</w:t>
      </w:r>
    </w:p>
    <w:p>
      <w:pPr>
        <w:numPr>
          <w:ilvl w:val="0"/>
          <w:numId w:val="3"/>
        </w:numPr>
        <w:spacing w:lineRule="auto"/>
      </w:pPr>
      <w:r>
        <w:rPr/>
        <w:t xml:space="preserve">Next review due: __________</w:t>
      </w:r>
    </w:p>
    <w:p>
      <w:pPr>
        <w:ind w:left="284"/>
        <w:jc w:val="both"/>
        <w:spacing w:lineRule="auto"/>
      </w:pPr>
      <w:r>
        <w:rPr/>
        <w:t xml:space="preserve">This template was generated by </w:t>
      </w:r>
      <w:r>
        <w:rPr>
          <w:b/>
        </w:rPr>
        <w:t xml:space="preserve">autogovern.io</w:t>
      </w:r>
      <w:r>
        <w:rPr/>
        <w:t xml:space="preserve"> as a professional starting point. Review and adapt it to your organisation, systems, sector and legal advice before adoption. It is an educational aid, not legal advice.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r>
      <rPr/>
    </r>
    <fldSimple xmlns:ns2="http://schemas.openxmlformats.org/wordprocessingml/2006/main" ns2:instr="PAGE">
      <r/>
    </fldSimple>
  </p>
</ft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footer" Target="footer1.xml" TargetMode="In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2026-07-10T21:38:36.756Z</dcterms:created>
  <dcterms:modified xsi:type="dcterms:W3CDTF">2026-07-10T21:38:36.756Z</dcterms:modified>
</cp:coreProperties>
</file>