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  <w:footerReference r:id="rId6" w:type="default"/>
    </w:sectPr>
    <w:p>
      <w:pPr>
        <w:spacing w:lineRule="auto"/>
      </w:pPr>
      <w:r>
        <w:rPr/>
        <w:t xml:space="preserve"/>
      </w:r>
    </w:p>
    <w:p>
      <w:pPr>
        <w:pStyle w:val="Heading1"/>
        <w:spacing w:lineRule="auto"/>
      </w:pPr>
      <w:r>
        <w:rPr/>
        <w:t xml:space="preserve">AI Risk Management Policy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Field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Detail</w:t>
            </w:r>
          </w:p>
        </w:tc>
      </w:t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Organisation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[Organisation Name]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Document type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Policy — approved, mandatory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Framework basis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EU AI Act Art. 9 · ISO/IEC 23894 · ISO 31000 · NIST AI RMF (MAP/MEASURE/MANAGE)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Owner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[Policy owner — e.g. AI Governance Lead]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Approved by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[Accountable executive / Board]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Version / status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v1.0 — DRAFT for adoption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Effective date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[Date]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Next review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[Date — at least annually]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Classification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Internal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Prepared with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autogovern.io — AI governance &amp; risk templates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1. Purpose</w:t>
      </w:r>
    </w:p>
    <w:p>
      <w:pPr>
        <w:spacing w:lineRule="auto"/>
      </w:pPr>
      <w:r>
        <w:rPr/>
        <w:t xml:space="preserve">This policy defines how </w:t>
      </w:r>
      <w:r>
        <w:rPr>
          <w:b/>
        </w:rPr>
        <w:t xml:space="preserve">[Organisation Name]</w:t>
      </w:r>
      <w:r>
        <w:rPr/>
        <w:t xml:space="preserve"> identifies, analyses, evaluates, treats, monitors and reports the risks arising from its use of artificial intelligence (AI), across the whole lifecycle and as a </w:t>
      </w:r>
      <w:r>
        <w:rPr>
          <w:b/>
        </w:rPr>
        <w:t xml:space="preserve">continuous</w:t>
      </w:r>
      <w:r>
        <w:rPr/>
        <w:t xml:space="preserve"> process — not a one-off exercise. It operationalises the risk commitments in the AI Governance Policy.</w:t>
      </w:r>
    </w:p>
    <w:p>
      <w:pPr>
        <w:pStyle w:val="Heading2"/>
        <w:spacing w:lineRule="auto"/>
      </w:pPr>
      <w:r>
        <w:rPr/>
        <w:t xml:space="preserve">2. Objectives</w:t>
      </w:r>
    </w:p>
    <w:p>
      <w:pPr>
        <w:numPr>
          <w:ilvl w:val="0"/>
          <w:numId w:val="1"/>
        </w:numPr>
        <w:spacing w:lineRule="auto"/>
      </w:pPr>
      <w:r>
        <w:rPr/>
        <w:t xml:space="preserve">Prevent AI from causing harm to people, groups, the organisation or the public.</w:t>
      </w:r>
    </w:p>
    <w:p>
      <w:pPr>
        <w:numPr>
          <w:ilvl w:val="0"/>
          <w:numId w:val="1"/>
        </w:numPr>
        <w:spacing w:lineRule="auto"/>
      </w:pPr>
      <w:r>
        <w:rPr/>
        <w:t xml:space="preserve">Keep AI risk within the organisation’s stated risk appetite.</w:t>
      </w:r>
    </w:p>
    <w:p>
      <w:pPr>
        <w:numPr>
          <w:ilvl w:val="0"/>
          <w:numId w:val="1"/>
        </w:numPr>
        <w:spacing w:lineRule="auto"/>
      </w:pPr>
      <w:r>
        <w:rPr/>
        <w:t xml:space="preserve">Provide a consistent, repeatable method to assess and treat AI risk.</w:t>
      </w:r>
    </w:p>
    <w:p>
      <w:pPr>
        <w:numPr>
          <w:ilvl w:val="0"/>
          <w:numId w:val="1"/>
        </w:numPr>
        <w:spacing w:lineRule="auto"/>
      </w:pPr>
      <w:r>
        <w:rPr/>
        <w:t xml:space="preserve">Meet legal risk-management obligations (e.g. EU AI Act Art. 9) and align to ISO/IEC 23894 and NIST AI RMF.</w:t>
      </w:r>
    </w:p>
    <w:p>
      <w:pPr>
        <w:numPr>
          <w:ilvl w:val="0"/>
          <w:numId w:val="1"/>
        </w:numPr>
        <w:spacing w:lineRule="auto"/>
      </w:pPr>
      <w:r>
        <w:rPr/>
        <w:t xml:space="preserve">Give leadership clear, current visibility of the AI risk profile.</w:t>
      </w:r>
    </w:p>
    <w:p>
      <w:pPr>
        <w:pStyle w:val="Heading2"/>
        <w:spacing w:lineRule="auto"/>
      </w:pPr>
      <w:r>
        <w:rPr/>
        <w:t xml:space="preserve">3. Scope</w:t>
      </w:r>
    </w:p>
    <w:p>
      <w:pPr>
        <w:spacing w:lineRule="auto"/>
      </w:pPr>
      <w:r>
        <w:rPr/>
        <w:t xml:space="preserve">This policy applies to all AI systems in scope of the AI Governance Policy — in-house, procured, embedded, generative and agentic — and to everyone involved in their lifecycle. It covers risks to health, safety and fundamental rights, and risks to security, privacy, fairness, performance, operations, reputation and compliance.</w:t>
      </w:r>
    </w:p>
    <w:p>
      <w:pPr>
        <w:pStyle w:val="Heading2"/>
        <w:spacing w:lineRule="auto"/>
      </w:pPr>
      <w:r>
        <w:rPr/>
        <w:t xml:space="preserve">4. Definitions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Term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Meaning</w:t>
            </w:r>
          </w:p>
        </w:tc>
      </w:t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Risk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effect of uncertainty on objectives — here, the likelihood and severity of AI-related harm.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Inherent risk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Risk before controls are applied.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Residual risk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Risk remaining after controls are applied.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Likelihood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How probable the risk is to occur (scored 1–5).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Impact / severity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How serious the harm would be if it occurred (scored 1–5).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Risk appetite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amount and type of risk the organisation is willing to accept.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Risk tolerance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The acceptable variation around the appetite for a specific risk.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KRI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Key Risk Indicator — a metric that signals rising risk.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Circuit-breaker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 control that pauses or falls back a system when a threshold is breached.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5. Risk governance — three lines of defence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Owner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Role in AI risk</w:t>
            </w:r>
          </w:p>
        </w:tc>
      </w:t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1st line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System / Model owners, Product, ML/Eng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Own and manage risk in their systems day-to-day; maintain the risk register entries; apply controls.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2nd line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Risk, Compliance, DPO, Security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Set the framework, challenge risk ratings, monitor appetite, and provide oversight.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3rd line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Internal Audit / independent review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Provide independent assurance that AI risk is managed effectively.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6. Risk appetite &amp; tolerance</w:t>
      </w:r>
    </w:p>
    <w:p>
      <w:pPr>
        <w:spacing w:lineRule="auto"/>
      </w:pPr>
      <w:r>
        <w:rPr/>
        <w:t xml:space="preserve">[Organisation Name] will </w:t>
      </w:r>
      <w:r>
        <w:rPr>
          <w:b/>
        </w:rPr>
        <w:t xml:space="preserve">not</w:t>
      </w:r>
      <w:r>
        <w:rPr/>
        <w:t xml:space="preserve"> deploy AI with </w:t>
      </w:r>
      <w:r>
        <w:rPr>
          <w:b/>
        </w:rPr>
        <w:t xml:space="preserve">unacceptable</w:t>
      </w:r>
      <w:r>
        <w:rPr/>
        <w:t xml:space="preserve"> residual risk to health, safety or fundamental rights. Residual </w:t>
      </w:r>
      <w:r>
        <w:rPr>
          <w:b/>
        </w:rPr>
        <w:t xml:space="preserve">high</w:t>
      </w:r>
      <w:r>
        <w:rPr/>
        <w:t xml:space="preserve"> risks require documented risk acceptance signed off by the accountable executive before go-live. The organisation states its appetite per risk category (see below) and reviews it at least annually.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Risk category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Appetite (example — set your own)</w:t>
            </w:r>
          </w:p>
        </w:tc>
      </w:t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Harm to people / fundamental rights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Very low — high/unacceptable residual risk blocks deployment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Unfair bias / discrimination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Low — must pass a fairness gate before release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Security &amp; data breach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Low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Performance / accuracy degradation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Moderate, within monitored thresholds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Reputational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Low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7. AI risk taxonomy</w:t>
      </w:r>
    </w:p>
    <w:p>
      <w:pPr>
        <w:spacing w:lineRule="auto"/>
      </w:pPr>
      <w:r>
        <w:rPr/>
        <w:t xml:space="preserve">[Organisation Name] assesses AI risk across these categories: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Category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Examples</w:t>
            </w:r>
          </w:p>
        </w:tc>
      </w:t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Safety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Physical or financial harm from wrong or unsafe outputs/actions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Bias &amp; fairness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Discriminatory outcomes across protected or vulnerable groups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Privacy &amp; data protection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Unlawful use, leakage or inference of personal data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Security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Prompt injection, model/data poisoning, model theft, insecure output handling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Transparency &amp; explainability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Opaque decisions, undisclosed AI use, unexplainable outcomes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Robustness &amp; performance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Errors, hallucinations, drift, out-of-distribution failure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Autonomy / agentic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Unintended or irreversible actions by AI agents; scope creep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Societal &amp; ethical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Manipulation, misinformation, environmental impact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Operational &amp; third-party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Vendor dependency, availability, supply-chain and integration risk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Legal &amp; compliance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Breach of AI, privacy, sector or consumer law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8. Risk-management process (continuous)</w:t>
      </w:r>
    </w:p>
    <w:p>
      <w:pPr>
        <w:spacing w:lineRule="auto"/>
      </w:pPr>
      <w:r>
        <w:rPr/>
        <w:t xml:space="preserve">Aligned to ISO 31000 / ISO/IEC 23894, NIST AI RMF (MAP → MEASURE → MANAGE) and EU AI Act Art. 9: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Establish context</w:t>
      </w:r>
      <w:r>
        <w:rPr/>
        <w:t xml:space="preserve"> — intended purpose, users, deployment environment, affected people, and reasonably foreseeable misuse.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Identify</w:t>
      </w:r>
      <w:r>
        <w:rPr/>
        <w:t xml:space="preserve"> — enumerate risks across the taxonomy above, including to fundamental rights.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Analyse</w:t>
      </w:r>
      <w:r>
        <w:rPr/>
        <w:t xml:space="preserve"> — score each risk by </w:t>
      </w:r>
      <w:r>
        <w:rPr>
          <w:b/>
        </w:rPr>
        <w:t xml:space="preserve">likelihood × impact</w:t>
      </w:r>
      <w:r>
        <w:rPr/>
        <w:t xml:space="preserve"> (1–5 each) to get an inherent score.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Evaluate</w:t>
      </w:r>
      <w:r>
        <w:rPr/>
        <w:t xml:space="preserve"> — compare against appetite; decide treat / tolerate / transfer / terminate.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Treat</w:t>
      </w:r>
      <w:r>
        <w:rPr/>
        <w:t xml:space="preserve"> — assign a mitigation/control and an owner; record residual risk.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Monitor &amp; review</w:t>
      </w:r>
      <w:r>
        <w:rPr/>
        <w:t xml:space="preserve"> — track KRIs; re-assess at every material model/data change and at least quarterly.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Report</w:t>
      </w:r>
      <w:r>
        <w:rPr/>
        <w:t xml:space="preserve"> — surface the risk profile to the AI Governance Committee and leadership.</w:t>
      </w:r>
    </w:p>
    <w:p>
      <w:pPr>
        <w:pStyle w:val="Heading2"/>
        <w:spacing w:lineRule="auto"/>
      </w:pPr>
      <w:r>
        <w:rPr/>
        <w:t xml:space="preserve">9. Risk assessment methodology (5×5)</w:t>
      </w:r>
    </w:p>
    <w:p>
      <w:pPr>
        <w:spacing w:lineRule="auto"/>
      </w:pPr>
      <w:r>
        <w:rPr/>
        <w:t xml:space="preserve">Score </w:t>
      </w:r>
      <w:r>
        <w:rPr>
          <w:b/>
        </w:rPr>
        <w:t xml:space="preserve">likelihood</w:t>
      </w:r>
      <w:r>
        <w:rPr/>
        <w:t xml:space="preserve"> and </w:t>
      </w:r>
      <w:r>
        <w:rPr>
          <w:b/>
        </w:rPr>
        <w:t xml:space="preserve">impact</w:t>
      </w:r>
      <w:r>
        <w:rPr/>
        <w:t xml:space="preserve"> 1–5; the risk score is their product (1–25).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Score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Likelihood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Impact / severity</w:t>
            </w:r>
          </w:p>
        </w:tc>
      </w:t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Rare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Negligible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Unlikely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Minor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Possible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Moderate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Likely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Major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Almost certain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Severe / critical (harm to people, major legal breach)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Rating bands:</w:t>
      </w:r>
      <w:r>
        <w:rPr/>
        <w:t xml:space="preserve"> 1–4 Low · 5–9 Medium · 10–14 High · 15–25 Critical.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Band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Response</w:t>
            </w:r>
          </w:p>
        </w:tc>
      </w:t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Low (1–4)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Accept and monitor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Medium (5–9)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Treat where cost-effective; owner monitors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High (10–14)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Treat before/at deployment; owner + 2nd-line review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Critical (15–25)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Do not deploy until reduced; executive risk acceptance required if residual remains high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10. Risk treatment — the four T’s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Option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When to use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Example</w:t>
            </w:r>
          </w:p>
        </w:tc>
      </w:t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Treat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Reduce likelihood or impact with controls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Add human review, guardrails, testing, monitoring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Tolerate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Accept within appetite with monitoring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Low residual risk, documented acceptance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Transfer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Share the risk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Insurance, contractual allocation to a vendor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Terminate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Avoid the risk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Do not build/deploy, or withdraw the system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11. Key Risk Indicators (KRIs) &amp; monitoring</w:t>
      </w:r>
    </w:p>
    <w:p>
      <w:pPr>
        <w:spacing w:lineRule="auto"/>
      </w:pPr>
      <w:r>
        <w:rPr/>
        <w:t xml:space="preserve">Monitor leading indicators in production and act on thresholds: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KRI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Example threshold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Response</w:t>
            </w:r>
          </w:p>
        </w:tc>
      </w:t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Data drift (PSI per key feature)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&gt; 0.2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Investigate; assess retraining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Performance drop vs. baseline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&gt; 5%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Trigger review / circuit-breaker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Fairness — disparate impact ratio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&lt; 0.80 (four-fifths rule)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Investigate and remediate before continued use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Guardrail / policy breach rate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[set threshold]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Tighten controls; root-cause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Prompt-injection / jailbreak rate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[set threshold]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Harden inputs &amp; output handling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Human-override rate spike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[set threshold]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Investigate root cause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12. Agentic &amp; autonomous AI</w:t>
      </w:r>
    </w:p>
    <w:p>
      <w:pPr>
        <w:spacing w:lineRule="auto"/>
      </w:pPr>
      <w:r>
        <w:rPr/>
        <w:t xml:space="preserve">For AI systems that take actions (not just produce outputs), apply additional controls proportionate to the potential impact of those actions: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Least-privilege scopes</w:t>
      </w:r>
      <w:r>
        <w:rPr/>
        <w:t xml:space="preserve"> — grant agents the minimum tools, data and permissions needed.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Approval gates</w:t>
      </w:r>
      <w:r>
        <w:rPr/>
        <w:t xml:space="preserve"> — require human approval for irreversible, high-value or sensitive actions.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Action logging</w:t>
      </w:r>
      <w:r>
        <w:rPr/>
        <w:t xml:space="preserve"> — record every action, tool call and decision for audit.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Kill switch</w:t>
      </w:r>
      <w:r>
        <w:rPr/>
        <w:t xml:space="preserve"> — a tested mechanism to halt the agent immediately.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Bounded autonomy</w:t>
      </w:r>
      <w:r>
        <w:rPr/>
        <w:t xml:space="preserve"> — define what the agent may and may not do without escalation.</w:t>
      </w:r>
    </w:p>
    <w:p>
      <w:pPr>
        <w:pStyle w:val="Heading2"/>
        <w:spacing w:lineRule="auto"/>
      </w:pPr>
      <w:r>
        <w:rPr/>
        <w:t xml:space="preserve">13. Incident &amp; escalation management</w:t>
      </w:r>
    </w:p>
    <w:p>
      <w:pPr>
        <w:spacing w:lineRule="auto"/>
      </w:pPr>
      <w:r>
        <w:rPr/>
        <w:t xml:space="preserve">Any risk scoring ≥ 15 inherent, or any newly discovered harm to people, is escalated to the AI Governance Committee within </w:t>
      </w:r>
      <w:r>
        <w:rPr>
          <w:b/>
        </w:rPr>
        <w:t xml:space="preserve">5 working days</w:t>
      </w:r>
      <w:r>
        <w:rPr/>
        <w:t xml:space="preserve">. Serious incidents are handled under the AI Incident Response Plan, including regulatory reporting where required: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Situation (EU AI Act Art. 73)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Report to authority within</w:t>
            </w:r>
          </w:p>
        </w:tc>
      </w:t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Default serious incident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15 days of awareness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Death of a person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 days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Widespread infringement or serious disruption of critical infrastructure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 days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14. Third-party &amp; supply-chain risk</w:t>
      </w:r>
    </w:p>
    <w:p>
      <w:pPr>
        <w:spacing w:lineRule="auto"/>
      </w:pPr>
      <w:r>
        <w:rPr/>
        <w:t xml:space="preserve">Assess the AI risk introduced by vendors and embedded models: security posture, data handling, model provenance, availability, and their own compliance. Record third-party systems in the risk register with a named internal owner and contractual risk allocation.</w:t>
      </w:r>
    </w:p>
    <w:p>
      <w:pPr>
        <w:pStyle w:val="Heading2"/>
        <w:spacing w:lineRule="auto"/>
      </w:pPr>
      <w:r>
        <w:rPr/>
        <w:t xml:space="preserve">15. Reporting &amp; assurance</w:t>
      </w:r>
    </w:p>
    <w:p>
      <w:pPr>
        <w:spacing w:lineRule="auto"/>
      </w:pPr>
      <w:r>
        <w:rPr/>
        <w:t xml:space="preserve">The risk register is the single source of truth for AI risk. The AI Governance Lead reports the risk profile — open risks by severity, trend, and KRI breaches — to the AI Governance Committee at each meeting and, at summary level, to the Board. Independent review (3rd line) assures the process at least annually.</w:t>
      </w:r>
    </w:p>
    <w:p>
      <w:pPr>
        <w:pStyle w:val="Heading2"/>
        <w:spacing w:lineRule="auto"/>
      </w:pPr>
      <w:r>
        <w:rPr/>
        <w:t xml:space="preserve">Regulatory &amp; framework mapping</w:t>
      </w:r>
    </w:p>
    <w:p>
      <w:pPr>
        <w:spacing w:lineRule="auto"/>
      </w:pPr>
      <w:r>
        <w:rPr/>
        <w:t xml:space="preserve">This policy is designed to help the organisation align with the following instruments. Confirm which apply to your systems and jurisdictions.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Framework / law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Jurisdiction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What this policy supports</w:t>
            </w:r>
          </w:p>
        </w:tc>
      </w:tr>
      <w:tblGrid>
        <w:gridCol w:w="2880"/>
        <w:gridCol w:w="2880"/>
        <w:gridCol w:w="288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EU AI Act (Reg. 2024/1689)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EU / EEA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Risk-management (Art. 9), data governance (Art. 10), documentation (Art. 11), logging (Art. 12), transparency (Art. 13), human oversight (Art. 14), accuracy/robustness (Art. 15), prohibited practices (Art. 5), transparency to users (Art. 50)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NIST AI RMF 1.0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US / global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GOVERN, MAP, MEASURE and MANAGE functions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ISO/IEC 42001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Global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AI management system (AIMS) — leadership, planning, operation, evaluation, improvement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ISO/IEC 23894 / ISO 31000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Global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AI risk management guidance and principles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GDPR (incl. Art. 22)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EU / UK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Lawful basis, DPIAs, safeguards for solely-automated decisions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PIPEDA + OPC gen-AI principles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Canada (federal)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Valid consent for training data, transparency, accountability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Quebec Law 25 (s. 12.1)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Canada — Quebec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Notice, disclosure of factors, and human review of exclusively-automated decisions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OSFI Guideline E-23 (eff. 2027)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Canada (financial)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Model risk management across the lifecycle, incl. AI/ML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TBS Directive on ADM + AIA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Canada (federal gov)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Algorithmic Impact Assessment, notice, explanation, human intervention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17. Review</w:t>
      </w:r>
    </w:p>
    <w:p>
      <w:pPr>
        <w:spacing w:lineRule="auto"/>
      </w:pPr>
      <w:r>
        <w:rPr/>
        <w:t xml:space="preserve">This policy and the risk methodology are reviewed at least annually and after any serious incident or material regulatory change.</w:t>
      </w:r>
    </w:p>
    <w:p>
      <w:pPr>
        <w:pStyle w:val="Heading2"/>
        <w:spacing w:lineRule="auto"/>
      </w:pPr>
      <w:r>
        <w:rPr/>
        <w:t xml:space="preserve">Appendix A — AI risk register (maintain this table)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785.4545454545455"/>
        <w:gridCol w:w="785.4545454545455"/>
        <w:gridCol w:w="785.4545454545455"/>
        <w:gridCol w:w="785.4545454545455"/>
        <w:gridCol w:w="785.4545454545455"/>
        <w:gridCol w:w="785.4545454545455"/>
        <w:gridCol w:w="785.4545454545455"/>
        <w:gridCol w:w="785.4545454545455"/>
        <w:gridCol w:w="785.4545454545455"/>
        <w:gridCol w:w="785.4545454545455"/>
        <w:gridCol w:w="785.4545454545455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Risk / harm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Category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Cause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Likelihood (1-5)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Impact (1-5)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Inherent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Control / mitigation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Owner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Residual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Status</w:t>
            </w:r>
          </w:p>
        </w:tc>
      </w:tr>
      <w:tblGrid>
        <w:gridCol w:w="785.4545454545455"/>
        <w:gridCol w:w="785.4545454545455"/>
        <w:gridCol w:w="785.4545454545455"/>
        <w:gridCol w:w="785.4545454545455"/>
        <w:gridCol w:w="785.4545454545455"/>
        <w:gridCol w:w="785.4545454545455"/>
        <w:gridCol w:w="785.4545454545455"/>
        <w:gridCol w:w="785.4545454545455"/>
        <w:gridCol w:w="785.4545454545455"/>
        <w:gridCol w:w="785.4545454545455"/>
        <w:gridCol w:w="785.4545454545455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R-01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[e.g. biased outcomes for a protected group]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Bias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[cause]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[control]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[owner]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Open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R-02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Appendix B — Risk treatment plan (per material risk)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Field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Detail</w:t>
            </w:r>
          </w:p>
        </w:tc>
      </w:tr>
      <w:tblGrid>
        <w:gridCol w:w="4320"/>
        <w:gridCol w:w="4320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Risk ID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[R-xx]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Chosen option (4 T’s)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[treat/tolerate/transfer/terminate]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Actions &amp; controls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[list]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Owner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[name]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Due date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[date]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Residual score after treatment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[score]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Accepted by (if residual high)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[executive]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Appendix C — Linked documents</w:t>
      </w:r>
    </w:p>
    <w:p>
      <w:pPr>
        <w:spacing w:lineRule="auto"/>
      </w:pPr>
      <w:r>
        <w:rPr/>
        <w:t xml:space="preserve">This policy is supported by: the </w:t>
      </w:r>
      <w:r>
        <w:rPr>
          <w:b/>
        </w:rPr>
        <w:t xml:space="preserve">AI Governance Policy</w:t>
      </w:r>
      <w:r>
        <w:rPr/>
        <w:t xml:space="preserve">, Bias &amp; Fairness Audit Procedure, Post-Market Monitoring &amp; Drift Runbook, Accuracy/Robustness/Security Test Plan, Human Oversight Procedure, and AI Incident Response Plan.</w:t>
      </w:r>
    </w:p>
    <w:p>
      <w:pPr>
        <w:pStyle w:val="Heading2"/>
        <w:spacing w:lineRule="auto"/>
      </w:pPr>
      <w:r>
        <w:rPr/>
        <w:t xml:space="preserve">Document control &amp; approval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1728"/>
        <w:gridCol w:w="1728"/>
        <w:gridCol w:w="1728"/>
        <w:gridCol w:w="1728"/>
        <w:gridCol w:w="1728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Version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Date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Author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Approved by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Summary of change</w:t>
            </w:r>
          </w:p>
        </w:tc>
      </w:tr>
      <w:tblGrid>
        <w:gridCol w:w="1728"/>
        <w:gridCol w:w="1728"/>
        <w:gridCol w:w="1728"/>
        <w:gridCol w:w="1728"/>
        <w:gridCol w:w="1728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1.0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[Date]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[Author]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[Approver]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Initial adoption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Sign-off</w:t>
      </w:r>
    </w:p>
    <w:p>
      <w:pPr>
        <w:numPr>
          <w:ilvl w:val="0"/>
          <w:numId w:val="4"/>
        </w:numPr>
        <w:spacing w:lineRule="auto"/>
      </w:pPr>
      <w:r>
        <w:rPr/>
        <w:t xml:space="preserve">Policy owner: __________________________  Signature: ______________  Date: __________</w:t>
      </w:r>
    </w:p>
    <w:p>
      <w:pPr>
        <w:numPr>
          <w:ilvl w:val="0"/>
          <w:numId w:val="4"/>
        </w:numPr>
        <w:spacing w:lineRule="auto"/>
      </w:pPr>
      <w:r>
        <w:rPr/>
        <w:t xml:space="preserve">Accountable executive: __________________________  Signature: ______________  Date: __________</w:t>
      </w:r>
    </w:p>
    <w:p>
      <w:pPr>
        <w:numPr>
          <w:ilvl w:val="0"/>
          <w:numId w:val="4"/>
        </w:numPr>
        <w:spacing w:lineRule="auto"/>
      </w:pPr>
      <w:r>
        <w:rPr/>
        <w:t xml:space="preserve">Next review due: __________</w:t>
      </w:r>
    </w:p>
    <w:p>
      <w:pPr>
        <w:ind w:left="284"/>
        <w:jc w:val="both"/>
        <w:spacing w:lineRule="auto"/>
      </w:pPr>
      <w:r>
        <w:rPr/>
        <w:t xml:space="preserve">This template was generated by </w:t>
      </w:r>
      <w:r>
        <w:rPr>
          <w:b/>
        </w:rPr>
        <w:t xml:space="preserve">autogovern.io</w:t>
      </w:r>
      <w:r>
        <w:rPr/>
        <w:t xml:space="preserve"> as a professional starting point. Review and adapt it to your organisation, systems, sector and legal advice before adoption. It is an educational aid, not legal advice.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r>
      <rPr/>
    </r>
    <fldSimple xmlns:ns2="http://schemas.openxmlformats.org/wordprocessingml/2006/main" ns2:instr="PAGE">
      <r/>
    </fldSimple>
  </p>
</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footer" Target="footer1.xml" TargetMode="In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2026-07-10T04:21:15.617Z</dcterms:created>
  <dcterms:modified xsi:type="dcterms:W3CDTF">2026-07-10T04:21:15.617Z</dcterms:modified>
</cp:coreProperties>
</file>